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C34942" w:rsidRPr="006949D9" w:rsidRDefault="00B81B58" w:rsidP="005A4C39">
      <w:pPr>
        <w:jc w:val="both"/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</w:pPr>
      <w:r>
        <w:rPr>
          <w:rFonts w:ascii="Calibri" w:hAnsi="Calibri" w:cs="Calibri"/>
          <w:b/>
          <w:sz w:val="32"/>
          <w:szCs w:val="32"/>
          <w:lang w:eastAsia="en-US"/>
        </w:rPr>
        <w:t>Ci-dessous, vous trouverez un aperçu des dépenses et recettes pour l’exercice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 xml:space="preserve"> comptable clôturé au 31/12/2010</w:t>
      </w:r>
      <w:r>
        <w:rPr>
          <w:rFonts w:ascii="Calibri" w:hAnsi="Calibri" w:cs="Calibri"/>
          <w:b/>
          <w:sz w:val="32"/>
          <w:szCs w:val="32"/>
          <w:lang w:eastAsia="en-US"/>
        </w:rPr>
        <w:t> : i</w:t>
      </w:r>
      <w:r w:rsidR="005A61B1">
        <w:rPr>
          <w:rFonts w:ascii="Calibri" w:hAnsi="Calibri" w:cs="Calibri"/>
          <w:b/>
          <w:sz w:val="32"/>
          <w:szCs w:val="32"/>
          <w:lang w:eastAsia="en-US"/>
        </w:rPr>
        <w:t xml:space="preserve">l faut surtout retenir </w:t>
      </w:r>
      <w:r w:rsidR="001A0A72">
        <w:rPr>
          <w:rFonts w:ascii="Calibri" w:hAnsi="Calibri" w:cs="Calibri"/>
          <w:b/>
          <w:sz w:val="32"/>
          <w:szCs w:val="32"/>
          <w:lang w:eastAsia="en-US"/>
        </w:rPr>
        <w:t>que</w:t>
      </w:r>
      <w:r w:rsidR="00C34942">
        <w:rPr>
          <w:rFonts w:ascii="Calibri" w:hAnsi="Calibri" w:cs="Calibri"/>
          <w:b/>
          <w:sz w:val="32"/>
          <w:szCs w:val="32"/>
          <w:lang w:eastAsia="en-US"/>
        </w:rPr>
        <w:t xml:space="preserve"> 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 xml:space="preserve">Nous clôturons un exercice comptable extrêmement difficile, avec une perte de </w:t>
      </w:r>
      <w:r w:rsidR="00F23B1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-</w:t>
      </w:r>
      <w:r w:rsidR="004258A5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512</w:t>
      </w:r>
      <w:r w:rsidR="00C76978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 xml:space="preserve"> </w:t>
      </w:r>
      <w:r w:rsidR="004258A5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022</w:t>
      </w:r>
      <w:r w:rsidR="00F23B1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,</w:t>
      </w:r>
      <w:r w:rsidR="004258A5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9</w:t>
      </w:r>
      <w:r w:rsidR="00F23B11">
        <w:rPr>
          <w:rFonts w:ascii="Arial" w:eastAsia="Times New Roman" w:hAnsi="Arial" w:cs="Arial"/>
          <w:b/>
          <w:bCs/>
          <w:sz w:val="28"/>
          <w:szCs w:val="28"/>
          <w:lang w:val="fr-FR" w:eastAsia="en-US"/>
        </w:rPr>
        <w:t>7 euro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. Malgré cela, l’organisation s’est mont</w:t>
      </w:r>
      <w:r w:rsidR="0012261F">
        <w:rPr>
          <w:rFonts w:ascii="Calibri" w:hAnsi="Calibri" w:cs="Calibri"/>
          <w:b/>
          <w:sz w:val="32"/>
          <w:szCs w:val="32"/>
          <w:lang w:eastAsia="en-US"/>
        </w:rPr>
        <w:t>r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ée très résiliente et réactive et a pu éviter la perte de presque 850 000 Euro</w:t>
      </w:r>
      <w:r w:rsidR="007D633E">
        <w:rPr>
          <w:rFonts w:ascii="Calibri" w:hAnsi="Calibri" w:cs="Calibri"/>
          <w:b/>
          <w:sz w:val="32"/>
          <w:szCs w:val="32"/>
          <w:lang w:eastAsia="en-US"/>
        </w:rPr>
        <w:t xml:space="preserve"> (sans recours à la réserve)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.</w:t>
      </w:r>
    </w:p>
    <w:p w:rsidR="00C34942" w:rsidRDefault="00C34942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C34942" w:rsidRDefault="00C34942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  <w:bookmarkStart w:id="0" w:name="_GoBack"/>
      <w:bookmarkEnd w:id="0"/>
    </w:p>
    <w:p w:rsidR="0044128B" w:rsidRPr="00573AED" w:rsidRDefault="0044128B" w:rsidP="005A4C39">
      <w:pPr>
        <w:jc w:val="both"/>
        <w:rPr>
          <w:rFonts w:ascii="Calibri" w:hAnsi="Calibri" w:cs="Calibri"/>
          <w:b/>
          <w:color w:val="1F497D"/>
          <w:sz w:val="32"/>
          <w:szCs w:val="32"/>
          <w:lang w:eastAsia="en-US"/>
        </w:rPr>
      </w:pPr>
      <w:r w:rsidRPr="00573AED">
        <w:rPr>
          <w:rFonts w:ascii="Calibri" w:hAnsi="Calibri" w:cs="Calibri"/>
          <w:b/>
          <w:sz w:val="32"/>
          <w:szCs w:val="32"/>
          <w:lang w:eastAsia="en-US"/>
        </w:rPr>
        <w:t xml:space="preserve">Commentaire aux comptes arrêtés au </w:t>
      </w:r>
      <w:r w:rsidR="00800019" w:rsidRPr="00573AED">
        <w:rPr>
          <w:rFonts w:ascii="Calibri" w:hAnsi="Calibri" w:cs="Calibri"/>
          <w:b/>
          <w:sz w:val="32"/>
          <w:szCs w:val="32"/>
          <w:lang w:eastAsia="en-US"/>
        </w:rPr>
        <w:t xml:space="preserve">31 </w:t>
      </w:r>
      <w:r w:rsidR="00024595" w:rsidRPr="00573AED">
        <w:rPr>
          <w:rFonts w:ascii="Calibri" w:hAnsi="Calibri" w:cs="Calibri"/>
          <w:b/>
          <w:sz w:val="32"/>
          <w:szCs w:val="32"/>
          <w:lang w:eastAsia="en-US"/>
        </w:rPr>
        <w:t xml:space="preserve">Décembre </w:t>
      </w:r>
      <w:r w:rsidR="006949D9">
        <w:rPr>
          <w:rFonts w:ascii="Calibri" w:hAnsi="Calibri" w:cs="Calibri"/>
          <w:b/>
          <w:sz w:val="32"/>
          <w:szCs w:val="32"/>
          <w:lang w:eastAsia="en-US"/>
        </w:rPr>
        <w:t>2020</w:t>
      </w:r>
      <w:r w:rsidR="00B76107">
        <w:rPr>
          <w:rFonts w:ascii="Calibri" w:hAnsi="Calibri" w:cs="Calibri"/>
          <w:b/>
          <w:sz w:val="32"/>
          <w:szCs w:val="32"/>
          <w:lang w:eastAsia="en-US"/>
        </w:rPr>
        <w:t>.</w:t>
      </w:r>
    </w:p>
    <w:p w:rsidR="002D5D72" w:rsidRDefault="002D5D72" w:rsidP="005A4C39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A31F80" w:rsidRPr="00CE4A94" w:rsidRDefault="00A31F80" w:rsidP="005A4C39">
      <w:pPr>
        <w:jc w:val="both"/>
        <w:rPr>
          <w:rFonts w:ascii="Calibri" w:hAnsi="Calibri" w:cs="Calibri"/>
          <w:color w:val="1F497D"/>
          <w:sz w:val="32"/>
          <w:szCs w:val="32"/>
          <w:lang w:eastAsia="en-US"/>
        </w:rPr>
      </w:pPr>
    </w:p>
    <w:p w:rsidR="00C34942" w:rsidRDefault="00A31F80" w:rsidP="00CE4A94">
      <w:pPr>
        <w:jc w:val="both"/>
      </w:pPr>
      <w:r w:rsidRPr="00102EFA">
        <w:t xml:space="preserve">Nous </w:t>
      </w:r>
      <w:r w:rsidR="00915C92" w:rsidRPr="00102EFA">
        <w:t>clôturons</w:t>
      </w:r>
      <w:r w:rsidR="009C4F2A" w:rsidRPr="00102EFA">
        <w:t xml:space="preserve"> l’exercice</w:t>
      </w:r>
      <w:r w:rsidR="00075318" w:rsidRPr="00102EFA">
        <w:t xml:space="preserve"> </w:t>
      </w:r>
      <w:r w:rsidR="006949D9">
        <w:t>2020</w:t>
      </w:r>
      <w:r w:rsidR="00014E7D" w:rsidRPr="00102EFA">
        <w:t xml:space="preserve"> </w:t>
      </w:r>
      <w:r w:rsidR="00014E7D">
        <w:t>avec</w:t>
      </w:r>
      <w:r w:rsidR="007360B5">
        <w:t xml:space="preserve"> un résultat </w:t>
      </w:r>
      <w:r w:rsidR="006949D9">
        <w:t xml:space="preserve">négatif </w:t>
      </w:r>
      <w:r w:rsidR="004F170F">
        <w:t xml:space="preserve">de </w:t>
      </w:r>
      <w:r w:rsidR="004258A5">
        <w:t>512</w:t>
      </w:r>
      <w:r w:rsidR="0002719B">
        <w:t xml:space="preserve"> </w:t>
      </w:r>
      <w:r w:rsidR="004258A5">
        <w:t>022</w:t>
      </w:r>
      <w:r w:rsidR="00DD266A">
        <w:t>,</w:t>
      </w:r>
      <w:r w:rsidR="004258A5">
        <w:t>9</w:t>
      </w:r>
      <w:r w:rsidR="006949D9">
        <w:t>7</w:t>
      </w:r>
      <w:r w:rsidR="00CE6144" w:rsidRPr="00102EFA">
        <w:t xml:space="preserve"> </w:t>
      </w:r>
      <w:r w:rsidR="00FF48D7" w:rsidRPr="00102EFA">
        <w:t>Eur</w:t>
      </w:r>
      <w:r w:rsidR="00CE6144" w:rsidRPr="00102EFA">
        <w:t>os</w:t>
      </w:r>
      <w:r w:rsidR="00FF48D7" w:rsidRPr="00102EFA">
        <w:t xml:space="preserve">. </w:t>
      </w:r>
      <w:r w:rsidR="00DD266A">
        <w:t>Si nous ne tenons pas compte de la contribution de la réserve qui est prévue au budget, la perte pr</w:t>
      </w:r>
      <w:r w:rsidR="00A1010A">
        <w:t>évue avant la pandémie du Covid</w:t>
      </w:r>
      <w:r w:rsidR="00DD266A">
        <w:t xml:space="preserve">-19 était de 339 908,20. On peut donc considérer que l’impact </w:t>
      </w:r>
      <w:r w:rsidR="0012261F">
        <w:t>négatif du</w:t>
      </w:r>
      <w:r w:rsidR="00DD266A">
        <w:t xml:space="preserve"> covid</w:t>
      </w:r>
      <w:r w:rsidR="00A1010A">
        <w:t>-19</w:t>
      </w:r>
      <w:r w:rsidR="00DD266A">
        <w:t xml:space="preserve"> sur notre exercice est de 1</w:t>
      </w:r>
      <w:r w:rsidR="004258A5">
        <w:t>72</w:t>
      </w:r>
      <w:r w:rsidR="00DD266A">
        <w:t xml:space="preserve"> </w:t>
      </w:r>
      <w:r w:rsidR="004258A5">
        <w:t>114</w:t>
      </w:r>
      <w:r w:rsidR="00DD266A">
        <w:t>,</w:t>
      </w:r>
      <w:r w:rsidR="004258A5">
        <w:t>7</w:t>
      </w:r>
      <w:r w:rsidR="0012261F">
        <w:t xml:space="preserve">7. Même négatif, ce résultat n’est pas </w:t>
      </w:r>
      <w:r w:rsidR="00EF590B">
        <w:t>mauvais quand</w:t>
      </w:r>
      <w:r w:rsidR="0012261F">
        <w:t xml:space="preserve"> on sait que les recettes prévues sur les legs n’ont été réalisées qu’à 54%</w:t>
      </w:r>
      <w:r w:rsidR="007127CC">
        <w:t xml:space="preserve"> et les actions </w:t>
      </w:r>
      <w:r w:rsidR="00EF590B">
        <w:t>régionales,</w:t>
      </w:r>
      <w:r w:rsidR="007127CC">
        <w:t xml:space="preserve"> pour des raisons certainement différentes n’ont été réalisées qu’à 36%.</w:t>
      </w:r>
      <w:r w:rsidR="0012261F">
        <w:t xml:space="preserve"> </w:t>
      </w:r>
    </w:p>
    <w:p w:rsidR="007127CC" w:rsidRPr="00102EFA" w:rsidRDefault="007127CC" w:rsidP="00CE4A94">
      <w:pPr>
        <w:jc w:val="both"/>
      </w:pPr>
    </w:p>
    <w:p w:rsidR="00CE4A94" w:rsidRPr="00102EFA" w:rsidRDefault="001A4103" w:rsidP="00CE4A94">
      <w:pPr>
        <w:jc w:val="both"/>
      </w:pPr>
      <w:r w:rsidRPr="00102EFA">
        <w:t xml:space="preserve">Ce résultat </w:t>
      </w:r>
      <w:r w:rsidR="007127CC">
        <w:t xml:space="preserve">négatif </w:t>
      </w:r>
      <w:r w:rsidRPr="00102EFA">
        <w:t>est</w:t>
      </w:r>
      <w:r w:rsidR="00CE4A94" w:rsidRPr="00102EFA">
        <w:t xml:space="preserve"> compréhensible quand on considère que l’utilisation </w:t>
      </w:r>
      <w:r w:rsidR="007360B5">
        <w:t xml:space="preserve">du budget des dépenses est à </w:t>
      </w:r>
      <w:r w:rsidR="004258A5">
        <w:t>91</w:t>
      </w:r>
      <w:r w:rsidR="007360B5">
        <w:t xml:space="preserve">% </w:t>
      </w:r>
      <w:r w:rsidR="00CE4A94" w:rsidRPr="00102EFA">
        <w:t>alors que celle des moyens mis à dispo</w:t>
      </w:r>
      <w:r w:rsidR="007360B5">
        <w:t xml:space="preserve">sition (budget des recettes) est de </w:t>
      </w:r>
      <w:r w:rsidR="007127CC">
        <w:t>80</w:t>
      </w:r>
      <w:r w:rsidR="00C34942">
        <w:t>%</w:t>
      </w:r>
      <w:r w:rsidR="00CE4A94" w:rsidRPr="00102EFA">
        <w:t>.</w:t>
      </w:r>
      <w:r w:rsidR="007127CC">
        <w:t xml:space="preserve"> Cette contraction de l’activité prévue de </w:t>
      </w:r>
      <w:r w:rsidR="004258A5">
        <w:t>9</w:t>
      </w:r>
      <w:r w:rsidR="007127CC">
        <w:t xml:space="preserve"> % pour les dépenses et de 20% pour les recettes prévues est une première et est certainement due aux différentes mesures sanitaires en vigueur depuis mars 2020.</w:t>
      </w:r>
    </w:p>
    <w:p w:rsidR="00CE4A94" w:rsidRPr="00102EFA" w:rsidRDefault="00CE4A94" w:rsidP="00CE4A94">
      <w:pPr>
        <w:jc w:val="both"/>
      </w:pPr>
    </w:p>
    <w:p w:rsidR="007E70A9" w:rsidRPr="00102EFA" w:rsidRDefault="004F170F" w:rsidP="005F7C60">
      <w:pPr>
        <w:jc w:val="both"/>
      </w:pPr>
      <w:r>
        <w:t>Mieux que l’exercice</w:t>
      </w:r>
      <w:r w:rsidR="00EF590B">
        <w:t xml:space="preserve"> précédent, l</w:t>
      </w:r>
      <w:r w:rsidR="005F7C60" w:rsidRPr="00102EFA">
        <w:t>es frais généraux représentent 1</w:t>
      </w:r>
      <w:r w:rsidR="004258A5">
        <w:t>1</w:t>
      </w:r>
      <w:r w:rsidR="005F7C60" w:rsidRPr="00102EFA">
        <w:t xml:space="preserve">% de toutes les dépenses, </w:t>
      </w:r>
      <w:r>
        <w:t xml:space="preserve">et encore mieux </w:t>
      </w:r>
      <w:r w:rsidR="0002719B">
        <w:t>que l’exercice</w:t>
      </w:r>
      <w:r w:rsidR="00C34942">
        <w:t xml:space="preserve"> </w:t>
      </w:r>
      <w:r w:rsidR="00EF590B">
        <w:t xml:space="preserve">2018 </w:t>
      </w:r>
      <w:r>
        <w:t>où ils occupaient 15%.</w:t>
      </w:r>
      <w:r w:rsidR="005F7C60" w:rsidRPr="00102EFA">
        <w:t xml:space="preserve"> Cela signifie également que l’essentie</w:t>
      </w:r>
      <w:r w:rsidR="0002719B">
        <w:t>l de nos moyens (</w:t>
      </w:r>
      <w:r w:rsidR="004258A5">
        <w:t>89</w:t>
      </w:r>
      <w:r w:rsidR="00014E7D" w:rsidRPr="00102EFA">
        <w:t>%)</w:t>
      </w:r>
      <w:r w:rsidR="005F7C60" w:rsidRPr="00102EFA">
        <w:t xml:space="preserve"> ont été utilisés aux activités de soutien direct</w:t>
      </w:r>
      <w:r w:rsidR="007D633E">
        <w:t xml:space="preserve"> et indirect</w:t>
      </w:r>
      <w:r w:rsidR="005F7C60" w:rsidRPr="00102EFA">
        <w:t xml:space="preserve"> aux patients et à leurs familles, à la défense de leurs intérêts, à la recherche </w:t>
      </w:r>
      <w:r w:rsidR="00014E7D" w:rsidRPr="00102EFA">
        <w:t>scientifique,</w:t>
      </w:r>
      <w:r w:rsidR="005F7C60" w:rsidRPr="00102EFA">
        <w:t xml:space="preserve"> à la sensibilisation et à la récolte de moyens financiers pour réaliser ces objectifs. </w:t>
      </w:r>
      <w:r w:rsidR="0002719B">
        <w:t xml:space="preserve">D’autre part, les frais liés </w:t>
      </w:r>
      <w:r w:rsidR="00A1010A">
        <w:t>aux instruments digitaux (budget informatique et IT) ont largement dépassé le budget prévu. En effet pour soutenir le travail à distance, les activités de vente (en ligne surtout) et les aménagements liés au déménagement, des efforts conséquents ont dû être consentis.</w:t>
      </w:r>
    </w:p>
    <w:p w:rsidR="005F7C60" w:rsidRPr="00102EFA" w:rsidRDefault="005F7C60" w:rsidP="005F7C60">
      <w:pPr>
        <w:jc w:val="both"/>
      </w:pPr>
    </w:p>
    <w:p w:rsidR="00A31F80" w:rsidRPr="00102EFA" w:rsidRDefault="005F7C60" w:rsidP="008C1BF6">
      <w:pPr>
        <w:jc w:val="both"/>
      </w:pPr>
      <w:r w:rsidRPr="00102EFA">
        <w:t>A cet ég</w:t>
      </w:r>
      <w:r w:rsidR="001A4103" w:rsidRPr="00102EFA">
        <w:t>ard, il faut</w:t>
      </w:r>
      <w:r w:rsidR="008E00ED">
        <w:t xml:space="preserve"> noter </w:t>
      </w:r>
      <w:r w:rsidR="00014E7D">
        <w:t>que dans</w:t>
      </w:r>
      <w:r w:rsidR="00EF590B">
        <w:t xml:space="preserve"> l’exercice 2020</w:t>
      </w:r>
      <w:r w:rsidRPr="00102EFA">
        <w:t xml:space="preserve">, </w:t>
      </w:r>
      <w:r w:rsidR="008C1BF6" w:rsidRPr="00102EFA">
        <w:t xml:space="preserve">conformément aux prévisions du budget et à cause de certains investissements prévus dans notre plan stratégique, </w:t>
      </w:r>
      <w:r w:rsidR="009C4F2A" w:rsidRPr="00102EFA">
        <w:t xml:space="preserve">les dépenses </w:t>
      </w:r>
      <w:r w:rsidR="007E70A9" w:rsidRPr="00102EFA">
        <w:t>pour la sensibi</w:t>
      </w:r>
      <w:r w:rsidR="001943FD">
        <w:t xml:space="preserve">lisation et la récolte de fonds restent </w:t>
      </w:r>
      <w:r w:rsidR="008E00ED">
        <w:t>notre premier poste de dépenses.</w:t>
      </w:r>
    </w:p>
    <w:p w:rsidR="00A128B5" w:rsidRPr="00102EFA" w:rsidRDefault="00A128B5" w:rsidP="008C1BF6">
      <w:pPr>
        <w:jc w:val="both"/>
      </w:pPr>
    </w:p>
    <w:p w:rsidR="000229C4" w:rsidRDefault="00565ED1" w:rsidP="008C1BF6">
      <w:pPr>
        <w:jc w:val="both"/>
      </w:pPr>
      <w:r w:rsidRPr="00102EFA">
        <w:t>La composition de nos recettes montre que les dons occupent to</w:t>
      </w:r>
      <w:r w:rsidR="00AC6DB7">
        <w:t>ujours la première place avec 72</w:t>
      </w:r>
      <w:r w:rsidRPr="00102EFA">
        <w:t xml:space="preserve">% pour un </w:t>
      </w:r>
      <w:r w:rsidR="00D9443C">
        <w:t xml:space="preserve">apport de </w:t>
      </w:r>
      <w:r w:rsidR="0002719B" w:rsidRPr="004258A5">
        <w:t xml:space="preserve">2 802 </w:t>
      </w:r>
      <w:r w:rsidR="00AC6DB7" w:rsidRPr="004258A5">
        <w:t>320</w:t>
      </w:r>
      <w:r w:rsidR="00AC6DB7">
        <w:rPr>
          <w:rFonts w:ascii="Arial" w:eastAsia="Times New Roman" w:hAnsi="Arial" w:cs="Arial"/>
          <w:b/>
          <w:bCs/>
          <w:lang w:val="fr-FR" w:eastAsia="en-US"/>
        </w:rPr>
        <w:t xml:space="preserve"> </w:t>
      </w:r>
      <w:r w:rsidR="00014E7D" w:rsidRPr="00102EFA">
        <w:t>euro</w:t>
      </w:r>
      <w:r w:rsidR="00AC6DB7">
        <w:t>, soit une diminution de 1 110 513 euro (28,4%) par rapport à l’année précédente. C’est la baisse spectaculaire des recettes de legs qui est la plus remarquable</w:t>
      </w:r>
      <w:r w:rsidR="000229C4">
        <w:t xml:space="preserve"> : de 1 663 477 euro en 2019, ces recettes diminuent de 70,2% à seulement </w:t>
      </w:r>
    </w:p>
    <w:p w:rsidR="007E70A9" w:rsidRPr="00102EFA" w:rsidRDefault="000229C4" w:rsidP="0098627A">
      <w:pPr>
        <w:jc w:val="both"/>
      </w:pPr>
      <w:r>
        <w:t xml:space="preserve">495 847 </w:t>
      </w:r>
      <w:r w:rsidR="00A1010A">
        <w:t>euro</w:t>
      </w:r>
      <w:r>
        <w:t xml:space="preserve">. </w:t>
      </w:r>
      <w:r w:rsidR="00F045E2" w:rsidRPr="00102EFA">
        <w:t xml:space="preserve"> </w:t>
      </w:r>
      <w:r>
        <w:t xml:space="preserve">Une réflexion est en cours pour en connaître les causes et surtout la tendance possible dans les années qui viennent. Les recettes des actions régionales diminuent de 64%. </w:t>
      </w:r>
      <w:r>
        <w:lastRenderedPageBreak/>
        <w:t xml:space="preserve">Seule lueur </w:t>
      </w:r>
      <w:r w:rsidR="00A1010A">
        <w:t>sur ce</w:t>
      </w:r>
      <w:r>
        <w:t xml:space="preserve"> sombre tableau, les recettes des actions de vente augmentent de </w:t>
      </w:r>
      <w:r w:rsidR="004F170F">
        <w:t xml:space="preserve">55%. C’est suite à une réaction énergique de l’organisation pour diversifier les recettes et une stratégie est en cours pour consolider cette activité. </w:t>
      </w:r>
    </w:p>
    <w:p w:rsidR="008F12BF" w:rsidRPr="00102EFA" w:rsidRDefault="008F12BF" w:rsidP="007E70A9">
      <w:pPr>
        <w:pStyle w:val="Lijstalinea"/>
      </w:pPr>
    </w:p>
    <w:p w:rsidR="008F12BF" w:rsidRPr="00102EFA" w:rsidRDefault="008F12BF" w:rsidP="007E70A9">
      <w:pPr>
        <w:pStyle w:val="Lijstalinea"/>
      </w:pPr>
    </w:p>
    <w:p w:rsidR="007E70A9" w:rsidRPr="00102EFA" w:rsidRDefault="007E70A9" w:rsidP="00102EFA">
      <w:pPr>
        <w:pStyle w:val="Lijstalinea"/>
        <w:ind w:left="644"/>
        <w:jc w:val="both"/>
      </w:pPr>
    </w:p>
    <w:p w:rsidR="00EA1E64" w:rsidRPr="00102EFA" w:rsidRDefault="00EA1E64" w:rsidP="00EA1E64">
      <w:pPr>
        <w:pStyle w:val="Lijstalinea"/>
        <w:jc w:val="both"/>
      </w:pPr>
    </w:p>
    <w:p w:rsidR="00A0760A" w:rsidRPr="00102EFA" w:rsidRDefault="00A0760A" w:rsidP="00EA1E64">
      <w:pPr>
        <w:pStyle w:val="Lijstalinea"/>
        <w:jc w:val="both"/>
      </w:pPr>
    </w:p>
    <w:p w:rsidR="00937466" w:rsidRPr="00102EFA" w:rsidRDefault="00937466" w:rsidP="005A4C3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37466" w:rsidRPr="00102EFA" w:rsidRDefault="00937466" w:rsidP="005A4C3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D5A59" w:rsidRPr="00102EFA" w:rsidRDefault="00DD5A59" w:rsidP="00DD5A59">
      <w:pPr>
        <w:pStyle w:val="Lijstalinea"/>
        <w:ind w:left="644"/>
        <w:jc w:val="both"/>
      </w:pPr>
    </w:p>
    <w:p w:rsidR="00937466" w:rsidRPr="00102EFA" w:rsidRDefault="00937466" w:rsidP="00DD5A59">
      <w:pPr>
        <w:ind w:left="644"/>
        <w:jc w:val="both"/>
      </w:pPr>
    </w:p>
    <w:p w:rsidR="00937466" w:rsidRPr="00102EFA" w:rsidRDefault="00937466" w:rsidP="00937466">
      <w:pPr>
        <w:jc w:val="both"/>
      </w:pPr>
    </w:p>
    <w:p w:rsidR="00937466" w:rsidRPr="00102EFA" w:rsidRDefault="00937466" w:rsidP="00937466">
      <w:pPr>
        <w:jc w:val="both"/>
      </w:pPr>
    </w:p>
    <w:p w:rsidR="005025DC" w:rsidRPr="00102EFA" w:rsidRDefault="005025DC" w:rsidP="00937466">
      <w:pPr>
        <w:jc w:val="both"/>
      </w:pPr>
    </w:p>
    <w:p w:rsidR="00937466" w:rsidRPr="00102EFA" w:rsidRDefault="00937466" w:rsidP="00937466">
      <w:pPr>
        <w:jc w:val="both"/>
      </w:pPr>
    </w:p>
    <w:p w:rsidR="00A0760A" w:rsidRPr="00102EFA" w:rsidRDefault="00A0760A" w:rsidP="00D63078">
      <w:pPr>
        <w:jc w:val="both"/>
        <w:rPr>
          <w:sz w:val="32"/>
          <w:szCs w:val="32"/>
        </w:rPr>
      </w:pPr>
    </w:p>
    <w:p w:rsidR="005B69BA" w:rsidRPr="00102EFA" w:rsidRDefault="005B69BA" w:rsidP="005B69BA">
      <w:pPr>
        <w:jc w:val="both"/>
      </w:pPr>
    </w:p>
    <w:sectPr w:rsidR="005B69BA" w:rsidRPr="0010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82" w:rsidRDefault="00242482" w:rsidP="00C86C96">
      <w:r>
        <w:separator/>
      </w:r>
    </w:p>
  </w:endnote>
  <w:endnote w:type="continuationSeparator" w:id="0">
    <w:p w:rsidR="00242482" w:rsidRDefault="00242482" w:rsidP="00C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82" w:rsidRDefault="00242482" w:rsidP="00C86C96">
      <w:r>
        <w:separator/>
      </w:r>
    </w:p>
  </w:footnote>
  <w:footnote w:type="continuationSeparator" w:id="0">
    <w:p w:rsidR="00242482" w:rsidRDefault="00242482" w:rsidP="00C8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FC6"/>
    <w:multiLevelType w:val="hybridMultilevel"/>
    <w:tmpl w:val="2626D266"/>
    <w:lvl w:ilvl="0" w:tplc="50C4D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4FAF"/>
    <w:multiLevelType w:val="hybridMultilevel"/>
    <w:tmpl w:val="BF94256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FE5"/>
    <w:multiLevelType w:val="hybridMultilevel"/>
    <w:tmpl w:val="3CAE48A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FD65BB"/>
    <w:multiLevelType w:val="hybridMultilevel"/>
    <w:tmpl w:val="2B1AEA6E"/>
    <w:lvl w:ilvl="0" w:tplc="CDC44C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050D3"/>
    <w:multiLevelType w:val="hybridMultilevel"/>
    <w:tmpl w:val="9E5006C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B"/>
    <w:rsid w:val="00007154"/>
    <w:rsid w:val="00010BBC"/>
    <w:rsid w:val="00014E7D"/>
    <w:rsid w:val="000229C4"/>
    <w:rsid w:val="00024595"/>
    <w:rsid w:val="0002719B"/>
    <w:rsid w:val="000468AD"/>
    <w:rsid w:val="00053852"/>
    <w:rsid w:val="00075318"/>
    <w:rsid w:val="00076CA1"/>
    <w:rsid w:val="0008081D"/>
    <w:rsid w:val="0009069D"/>
    <w:rsid w:val="000B443C"/>
    <w:rsid w:val="000F1563"/>
    <w:rsid w:val="00102EFA"/>
    <w:rsid w:val="0011438F"/>
    <w:rsid w:val="0012261F"/>
    <w:rsid w:val="00182C18"/>
    <w:rsid w:val="001943FD"/>
    <w:rsid w:val="001A0242"/>
    <w:rsid w:val="001A0A72"/>
    <w:rsid w:val="001A4103"/>
    <w:rsid w:val="00241C4E"/>
    <w:rsid w:val="00242482"/>
    <w:rsid w:val="00274E07"/>
    <w:rsid w:val="002807AA"/>
    <w:rsid w:val="002D5D72"/>
    <w:rsid w:val="002D6F8B"/>
    <w:rsid w:val="00301C7A"/>
    <w:rsid w:val="00386668"/>
    <w:rsid w:val="004258A5"/>
    <w:rsid w:val="00427C54"/>
    <w:rsid w:val="0044128B"/>
    <w:rsid w:val="00442946"/>
    <w:rsid w:val="00482137"/>
    <w:rsid w:val="004B1AD4"/>
    <w:rsid w:val="004D4FB2"/>
    <w:rsid w:val="004E3F39"/>
    <w:rsid w:val="004E7E40"/>
    <w:rsid w:val="004F170F"/>
    <w:rsid w:val="005025DC"/>
    <w:rsid w:val="005027A2"/>
    <w:rsid w:val="005255F2"/>
    <w:rsid w:val="00565ED1"/>
    <w:rsid w:val="00573AED"/>
    <w:rsid w:val="005A4C39"/>
    <w:rsid w:val="005A61B1"/>
    <w:rsid w:val="005B1E8A"/>
    <w:rsid w:val="005B69BA"/>
    <w:rsid w:val="005F7C60"/>
    <w:rsid w:val="00632AD1"/>
    <w:rsid w:val="00644943"/>
    <w:rsid w:val="006949D9"/>
    <w:rsid w:val="007127CC"/>
    <w:rsid w:val="007360B5"/>
    <w:rsid w:val="00753275"/>
    <w:rsid w:val="007868A1"/>
    <w:rsid w:val="00791DE9"/>
    <w:rsid w:val="007D633E"/>
    <w:rsid w:val="007E6803"/>
    <w:rsid w:val="007E70A9"/>
    <w:rsid w:val="00800019"/>
    <w:rsid w:val="008638F2"/>
    <w:rsid w:val="008777FA"/>
    <w:rsid w:val="008C1BF6"/>
    <w:rsid w:val="008D45D7"/>
    <w:rsid w:val="008E00ED"/>
    <w:rsid w:val="008E78A7"/>
    <w:rsid w:val="008F12BF"/>
    <w:rsid w:val="009117FE"/>
    <w:rsid w:val="00915C92"/>
    <w:rsid w:val="00937466"/>
    <w:rsid w:val="00943060"/>
    <w:rsid w:val="00943BDD"/>
    <w:rsid w:val="0095118F"/>
    <w:rsid w:val="00957799"/>
    <w:rsid w:val="0098627A"/>
    <w:rsid w:val="009A06BE"/>
    <w:rsid w:val="009C4F2A"/>
    <w:rsid w:val="009D3CCA"/>
    <w:rsid w:val="009E17D4"/>
    <w:rsid w:val="00A055C1"/>
    <w:rsid w:val="00A0760A"/>
    <w:rsid w:val="00A1010A"/>
    <w:rsid w:val="00A128B5"/>
    <w:rsid w:val="00A143D6"/>
    <w:rsid w:val="00A31F80"/>
    <w:rsid w:val="00A40244"/>
    <w:rsid w:val="00A41E41"/>
    <w:rsid w:val="00A635CD"/>
    <w:rsid w:val="00A94485"/>
    <w:rsid w:val="00AA6D37"/>
    <w:rsid w:val="00AA7D0E"/>
    <w:rsid w:val="00AC6DB7"/>
    <w:rsid w:val="00AE20EF"/>
    <w:rsid w:val="00B12521"/>
    <w:rsid w:val="00B16A79"/>
    <w:rsid w:val="00B17C5E"/>
    <w:rsid w:val="00B57E8D"/>
    <w:rsid w:val="00B76107"/>
    <w:rsid w:val="00B76569"/>
    <w:rsid w:val="00B81B58"/>
    <w:rsid w:val="00BA1F09"/>
    <w:rsid w:val="00BA639C"/>
    <w:rsid w:val="00BE7F80"/>
    <w:rsid w:val="00C00F78"/>
    <w:rsid w:val="00C261D3"/>
    <w:rsid w:val="00C34942"/>
    <w:rsid w:val="00C378C9"/>
    <w:rsid w:val="00C41446"/>
    <w:rsid w:val="00C414E6"/>
    <w:rsid w:val="00C4724D"/>
    <w:rsid w:val="00C54D37"/>
    <w:rsid w:val="00C76978"/>
    <w:rsid w:val="00C86C96"/>
    <w:rsid w:val="00CA4D96"/>
    <w:rsid w:val="00CB4B8B"/>
    <w:rsid w:val="00CC07DF"/>
    <w:rsid w:val="00CE4A94"/>
    <w:rsid w:val="00CE6144"/>
    <w:rsid w:val="00CF671A"/>
    <w:rsid w:val="00D05893"/>
    <w:rsid w:val="00D63078"/>
    <w:rsid w:val="00D9443C"/>
    <w:rsid w:val="00DD266A"/>
    <w:rsid w:val="00DD5A59"/>
    <w:rsid w:val="00DE4EBB"/>
    <w:rsid w:val="00E01BFB"/>
    <w:rsid w:val="00E52643"/>
    <w:rsid w:val="00E64675"/>
    <w:rsid w:val="00E90789"/>
    <w:rsid w:val="00E92DDF"/>
    <w:rsid w:val="00EA1E64"/>
    <w:rsid w:val="00EB566E"/>
    <w:rsid w:val="00EC31F4"/>
    <w:rsid w:val="00ED7752"/>
    <w:rsid w:val="00EF590B"/>
    <w:rsid w:val="00F0256E"/>
    <w:rsid w:val="00F045E2"/>
    <w:rsid w:val="00F23B11"/>
    <w:rsid w:val="00F34D20"/>
    <w:rsid w:val="00F54903"/>
    <w:rsid w:val="00F95EA7"/>
    <w:rsid w:val="00FB5BAB"/>
    <w:rsid w:val="00FE53A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A7B950"/>
  <w15:chartTrackingRefBased/>
  <w15:docId w15:val="{36B9EB2D-8B2B-4803-B215-D641186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128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28B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6C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CA1"/>
    <w:rPr>
      <w:rFonts w:ascii="Segoe UI" w:hAnsi="Segoe UI" w:cs="Segoe UI"/>
      <w:sz w:val="18"/>
      <w:szCs w:val="18"/>
      <w:lang w:eastAsia="fr-BE"/>
    </w:rPr>
  </w:style>
  <w:style w:type="paragraph" w:styleId="Koptekst">
    <w:name w:val="header"/>
    <w:basedOn w:val="Standaard"/>
    <w:link w:val="Koptekst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Stefan</cp:lastModifiedBy>
  <cp:revision>6</cp:revision>
  <cp:lastPrinted>2018-02-21T16:10:00Z</cp:lastPrinted>
  <dcterms:created xsi:type="dcterms:W3CDTF">2021-02-24T16:07:00Z</dcterms:created>
  <dcterms:modified xsi:type="dcterms:W3CDTF">2021-02-25T16:19:00Z</dcterms:modified>
</cp:coreProperties>
</file>