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58" w:rsidRDefault="00B81B58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:rsidR="00B81B58" w:rsidRDefault="00B81B58" w:rsidP="005A4C39">
      <w:pPr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:rsidR="00C34942" w:rsidRPr="00EE7AE0" w:rsidRDefault="00EE7AE0" w:rsidP="005A4C39">
      <w:pPr>
        <w:jc w:val="both"/>
        <w:rPr>
          <w:rFonts w:ascii="Arial" w:eastAsia="Times New Roman" w:hAnsi="Arial" w:cs="Arial"/>
          <w:b/>
          <w:bCs/>
          <w:sz w:val="28"/>
          <w:szCs w:val="28"/>
          <w:lang w:val="nl-BE" w:eastAsia="en-US"/>
        </w:rPr>
      </w:pPr>
      <w:r w:rsidRPr="00EE7AE0">
        <w:rPr>
          <w:rFonts w:ascii="Calibri" w:hAnsi="Calibri" w:cs="Calibri"/>
          <w:b/>
          <w:sz w:val="32"/>
          <w:szCs w:val="32"/>
          <w:lang w:val="nl-BE" w:eastAsia="en-US"/>
        </w:rPr>
        <w:t xml:space="preserve">Hieronder vindt U een overzicht van de uitgaven en inkomsten voor het boekjaar afgesloten op </w:t>
      </w:r>
      <w:r w:rsidR="006949D9" w:rsidRPr="00EE7AE0">
        <w:rPr>
          <w:rFonts w:ascii="Calibri" w:hAnsi="Calibri" w:cs="Calibri"/>
          <w:b/>
          <w:sz w:val="32"/>
          <w:szCs w:val="32"/>
          <w:lang w:val="nl-BE" w:eastAsia="en-US"/>
        </w:rPr>
        <w:t>31/12/2010</w:t>
      </w:r>
      <w:r w:rsidR="00B81B58" w:rsidRPr="00EE7AE0">
        <w:rPr>
          <w:rFonts w:ascii="Calibri" w:hAnsi="Calibri" w:cs="Calibri"/>
          <w:b/>
          <w:sz w:val="32"/>
          <w:szCs w:val="32"/>
          <w:lang w:val="nl-BE" w:eastAsia="en-US"/>
        </w:rPr>
        <w:t xml:space="preserve"> : </w:t>
      </w:r>
      <w:r w:rsidRPr="00EE7AE0">
        <w:rPr>
          <w:rFonts w:ascii="Calibri" w:hAnsi="Calibri" w:cs="Calibri"/>
          <w:b/>
          <w:sz w:val="32"/>
          <w:szCs w:val="32"/>
          <w:lang w:val="nl-BE" w:eastAsia="en-US"/>
        </w:rPr>
        <w:t>We weerhouden vooral dat we hier een zeer mo</w:t>
      </w:r>
      <w:r w:rsidR="001D0B1B">
        <w:rPr>
          <w:rFonts w:ascii="Calibri" w:hAnsi="Calibri" w:cs="Calibri"/>
          <w:b/>
          <w:sz w:val="32"/>
          <w:szCs w:val="32"/>
          <w:lang w:val="nl-BE" w:eastAsia="en-US"/>
        </w:rPr>
        <w:t>e</w:t>
      </w:r>
      <w:r w:rsidRPr="00EE7AE0">
        <w:rPr>
          <w:rFonts w:ascii="Calibri" w:hAnsi="Calibri" w:cs="Calibri"/>
          <w:b/>
          <w:sz w:val="32"/>
          <w:szCs w:val="32"/>
          <w:lang w:val="nl-BE" w:eastAsia="en-US"/>
        </w:rPr>
        <w:t>ilijk boekjaar afsluiten met een verlies van</w:t>
      </w:r>
      <w:r w:rsidR="006949D9" w:rsidRPr="00EE7AE0">
        <w:rPr>
          <w:rFonts w:ascii="Calibri" w:hAnsi="Calibri" w:cs="Calibri"/>
          <w:b/>
          <w:sz w:val="32"/>
          <w:szCs w:val="32"/>
          <w:lang w:val="nl-BE" w:eastAsia="en-US"/>
        </w:rPr>
        <w:t xml:space="preserve"> </w:t>
      </w:r>
      <w:r w:rsidR="00F23B11" w:rsidRPr="00EE7AE0">
        <w:rPr>
          <w:rFonts w:ascii="Arial" w:eastAsia="Times New Roman" w:hAnsi="Arial" w:cs="Arial"/>
          <w:b/>
          <w:bCs/>
          <w:sz w:val="28"/>
          <w:szCs w:val="28"/>
          <w:lang w:val="nl-BE" w:eastAsia="en-US"/>
        </w:rPr>
        <w:t>-</w:t>
      </w:r>
      <w:r w:rsidR="00AB4B4F">
        <w:rPr>
          <w:rFonts w:ascii="Arial" w:eastAsia="Times New Roman" w:hAnsi="Arial" w:cs="Arial"/>
          <w:b/>
          <w:bCs/>
          <w:sz w:val="28"/>
          <w:szCs w:val="28"/>
          <w:lang w:val="nl-BE" w:eastAsia="en-US"/>
        </w:rPr>
        <w:t>512</w:t>
      </w:r>
      <w:r w:rsidR="00C76978" w:rsidRPr="00EE7AE0">
        <w:rPr>
          <w:rFonts w:ascii="Arial" w:eastAsia="Times New Roman" w:hAnsi="Arial" w:cs="Arial"/>
          <w:b/>
          <w:bCs/>
          <w:sz w:val="28"/>
          <w:szCs w:val="28"/>
          <w:lang w:val="nl-BE" w:eastAsia="en-US"/>
        </w:rPr>
        <w:t xml:space="preserve"> </w:t>
      </w:r>
      <w:r w:rsidR="00AB4B4F">
        <w:rPr>
          <w:rFonts w:ascii="Arial" w:eastAsia="Times New Roman" w:hAnsi="Arial" w:cs="Arial"/>
          <w:b/>
          <w:bCs/>
          <w:sz w:val="28"/>
          <w:szCs w:val="28"/>
          <w:lang w:val="nl-BE" w:eastAsia="en-US"/>
        </w:rPr>
        <w:t>022</w:t>
      </w:r>
      <w:r w:rsidR="00F23B11" w:rsidRPr="00EE7AE0">
        <w:rPr>
          <w:rFonts w:ascii="Arial" w:eastAsia="Times New Roman" w:hAnsi="Arial" w:cs="Arial"/>
          <w:b/>
          <w:bCs/>
          <w:sz w:val="28"/>
          <w:szCs w:val="28"/>
          <w:lang w:val="nl-BE" w:eastAsia="en-US"/>
        </w:rPr>
        <w:t>,</w:t>
      </w:r>
      <w:r w:rsidR="00AB4B4F">
        <w:rPr>
          <w:rFonts w:ascii="Arial" w:eastAsia="Times New Roman" w:hAnsi="Arial" w:cs="Arial"/>
          <w:b/>
          <w:bCs/>
          <w:sz w:val="28"/>
          <w:szCs w:val="28"/>
          <w:lang w:val="nl-BE" w:eastAsia="en-US"/>
        </w:rPr>
        <w:t>9</w:t>
      </w:r>
      <w:r w:rsidR="00F23B11" w:rsidRPr="00EE7AE0">
        <w:rPr>
          <w:rFonts w:ascii="Arial" w:eastAsia="Times New Roman" w:hAnsi="Arial" w:cs="Arial"/>
          <w:b/>
          <w:bCs/>
          <w:sz w:val="28"/>
          <w:szCs w:val="28"/>
          <w:lang w:val="nl-BE" w:eastAsia="en-US"/>
        </w:rPr>
        <w:t>7 euro</w:t>
      </w:r>
      <w:r w:rsidR="006949D9" w:rsidRPr="00EE7AE0">
        <w:rPr>
          <w:rFonts w:ascii="Calibri" w:hAnsi="Calibri" w:cs="Calibri"/>
          <w:b/>
          <w:sz w:val="32"/>
          <w:szCs w:val="32"/>
          <w:lang w:val="nl-BE" w:eastAsia="en-US"/>
        </w:rPr>
        <w:t xml:space="preserve">. </w:t>
      </w:r>
      <w:r w:rsidRPr="00EE7AE0">
        <w:rPr>
          <w:rFonts w:ascii="Calibri" w:hAnsi="Calibri" w:cs="Calibri"/>
          <w:b/>
          <w:sz w:val="32"/>
          <w:szCs w:val="32"/>
          <w:lang w:val="nl-BE" w:eastAsia="en-US"/>
        </w:rPr>
        <w:t xml:space="preserve">Desalniettemin heeft onze organisatie zich veerkrachtig getoond en reactief en heeft aldus een verlies van bijna </w:t>
      </w:r>
      <w:r w:rsidR="006949D9" w:rsidRPr="00EE7AE0">
        <w:rPr>
          <w:rFonts w:ascii="Calibri" w:hAnsi="Calibri" w:cs="Calibri"/>
          <w:b/>
          <w:sz w:val="32"/>
          <w:szCs w:val="32"/>
          <w:lang w:val="nl-BE" w:eastAsia="en-US"/>
        </w:rPr>
        <w:t>850 000 Euro</w:t>
      </w:r>
      <w:r w:rsidR="007D633E" w:rsidRPr="00EE7AE0">
        <w:rPr>
          <w:rFonts w:ascii="Calibri" w:hAnsi="Calibri" w:cs="Calibri"/>
          <w:b/>
          <w:sz w:val="32"/>
          <w:szCs w:val="32"/>
          <w:lang w:val="nl-BE" w:eastAsia="en-US"/>
        </w:rPr>
        <w:t xml:space="preserve"> (</w:t>
      </w:r>
      <w:r>
        <w:rPr>
          <w:rFonts w:ascii="Calibri" w:hAnsi="Calibri" w:cs="Calibri"/>
          <w:b/>
          <w:sz w:val="32"/>
          <w:szCs w:val="32"/>
          <w:lang w:val="nl-BE" w:eastAsia="en-US"/>
        </w:rPr>
        <w:t>zonder beroep op de re</w:t>
      </w:r>
      <w:r w:rsidR="007D633E" w:rsidRPr="00EE7AE0">
        <w:rPr>
          <w:rFonts w:ascii="Calibri" w:hAnsi="Calibri" w:cs="Calibri"/>
          <w:b/>
          <w:sz w:val="32"/>
          <w:szCs w:val="32"/>
          <w:lang w:val="nl-BE" w:eastAsia="en-US"/>
        </w:rPr>
        <w:t>serve)</w:t>
      </w:r>
      <w:r w:rsidRPr="00EE7AE0">
        <w:rPr>
          <w:rFonts w:ascii="Calibri" w:hAnsi="Calibri" w:cs="Calibri"/>
          <w:b/>
          <w:sz w:val="32"/>
          <w:szCs w:val="32"/>
          <w:lang w:val="nl-BE" w:eastAsia="en-US"/>
        </w:rPr>
        <w:t xml:space="preserve"> weten te vermijden</w:t>
      </w:r>
      <w:r w:rsidR="006949D9" w:rsidRPr="00EE7AE0">
        <w:rPr>
          <w:rFonts w:ascii="Calibri" w:hAnsi="Calibri" w:cs="Calibri"/>
          <w:b/>
          <w:sz w:val="32"/>
          <w:szCs w:val="32"/>
          <w:lang w:val="nl-BE" w:eastAsia="en-US"/>
        </w:rPr>
        <w:t>.</w:t>
      </w:r>
    </w:p>
    <w:p w:rsidR="00C34942" w:rsidRPr="00EE7AE0" w:rsidRDefault="00C34942" w:rsidP="005A4C39">
      <w:pPr>
        <w:jc w:val="both"/>
        <w:rPr>
          <w:rFonts w:ascii="Calibri" w:hAnsi="Calibri" w:cs="Calibri"/>
          <w:b/>
          <w:sz w:val="32"/>
          <w:szCs w:val="32"/>
          <w:lang w:val="nl-BE" w:eastAsia="en-US"/>
        </w:rPr>
      </w:pPr>
    </w:p>
    <w:p w:rsidR="00C34942" w:rsidRPr="00EE7AE0" w:rsidRDefault="00C34942" w:rsidP="005A4C39">
      <w:pPr>
        <w:jc w:val="both"/>
        <w:rPr>
          <w:rFonts w:ascii="Calibri" w:hAnsi="Calibri" w:cs="Calibri"/>
          <w:b/>
          <w:sz w:val="32"/>
          <w:szCs w:val="32"/>
          <w:lang w:val="nl-BE" w:eastAsia="en-US"/>
        </w:rPr>
      </w:pPr>
    </w:p>
    <w:p w:rsidR="0044128B" w:rsidRPr="00EE7AE0" w:rsidRDefault="00EE7AE0" w:rsidP="005A4C39">
      <w:pPr>
        <w:jc w:val="both"/>
        <w:rPr>
          <w:rFonts w:ascii="Calibri" w:hAnsi="Calibri" w:cs="Calibri"/>
          <w:b/>
          <w:color w:val="1F497D"/>
          <w:sz w:val="32"/>
          <w:szCs w:val="32"/>
          <w:lang w:val="nl-BE" w:eastAsia="en-US"/>
        </w:rPr>
      </w:pPr>
      <w:r w:rsidRPr="00EE7AE0">
        <w:rPr>
          <w:rFonts w:ascii="Calibri" w:hAnsi="Calibri" w:cs="Calibri"/>
          <w:b/>
          <w:sz w:val="32"/>
          <w:szCs w:val="32"/>
          <w:lang w:val="nl-BE" w:eastAsia="en-US"/>
        </w:rPr>
        <w:t>Commentaar bij de rekeningen afgesloten op</w:t>
      </w:r>
      <w:r w:rsidR="0044128B" w:rsidRPr="00EE7AE0">
        <w:rPr>
          <w:rFonts w:ascii="Calibri" w:hAnsi="Calibri" w:cs="Calibri"/>
          <w:b/>
          <w:sz w:val="32"/>
          <w:szCs w:val="32"/>
          <w:lang w:val="nl-BE" w:eastAsia="en-US"/>
        </w:rPr>
        <w:t xml:space="preserve"> </w:t>
      </w:r>
      <w:r w:rsidR="00800019" w:rsidRPr="00EE7AE0">
        <w:rPr>
          <w:rFonts w:ascii="Calibri" w:hAnsi="Calibri" w:cs="Calibri"/>
          <w:b/>
          <w:sz w:val="32"/>
          <w:szCs w:val="32"/>
          <w:lang w:val="nl-BE" w:eastAsia="en-US"/>
        </w:rPr>
        <w:t xml:space="preserve">31 </w:t>
      </w:r>
      <w:r w:rsidRPr="00EE7AE0">
        <w:rPr>
          <w:rFonts w:ascii="Calibri" w:hAnsi="Calibri" w:cs="Calibri"/>
          <w:b/>
          <w:sz w:val="32"/>
          <w:szCs w:val="32"/>
          <w:lang w:val="nl-BE" w:eastAsia="en-US"/>
        </w:rPr>
        <w:t>Decemb</w:t>
      </w:r>
      <w:r w:rsidR="00024595" w:rsidRPr="00EE7AE0">
        <w:rPr>
          <w:rFonts w:ascii="Calibri" w:hAnsi="Calibri" w:cs="Calibri"/>
          <w:b/>
          <w:sz w:val="32"/>
          <w:szCs w:val="32"/>
          <w:lang w:val="nl-BE" w:eastAsia="en-US"/>
        </w:rPr>
        <w:t>e</w:t>
      </w:r>
      <w:r w:rsidRPr="00EE7AE0">
        <w:rPr>
          <w:rFonts w:ascii="Calibri" w:hAnsi="Calibri" w:cs="Calibri"/>
          <w:b/>
          <w:sz w:val="32"/>
          <w:szCs w:val="32"/>
          <w:lang w:val="nl-BE" w:eastAsia="en-US"/>
        </w:rPr>
        <w:t>r</w:t>
      </w:r>
      <w:r w:rsidR="00024595" w:rsidRPr="00EE7AE0">
        <w:rPr>
          <w:rFonts w:ascii="Calibri" w:hAnsi="Calibri" w:cs="Calibri"/>
          <w:b/>
          <w:sz w:val="32"/>
          <w:szCs w:val="32"/>
          <w:lang w:val="nl-BE" w:eastAsia="en-US"/>
        </w:rPr>
        <w:t xml:space="preserve"> </w:t>
      </w:r>
      <w:r w:rsidR="006949D9" w:rsidRPr="00EE7AE0">
        <w:rPr>
          <w:rFonts w:ascii="Calibri" w:hAnsi="Calibri" w:cs="Calibri"/>
          <w:b/>
          <w:sz w:val="32"/>
          <w:szCs w:val="32"/>
          <w:lang w:val="nl-BE" w:eastAsia="en-US"/>
        </w:rPr>
        <w:t>2020</w:t>
      </w:r>
      <w:r w:rsidR="00B76107" w:rsidRPr="00EE7AE0">
        <w:rPr>
          <w:rFonts w:ascii="Calibri" w:hAnsi="Calibri" w:cs="Calibri"/>
          <w:b/>
          <w:sz w:val="32"/>
          <w:szCs w:val="32"/>
          <w:lang w:val="nl-BE" w:eastAsia="en-US"/>
        </w:rPr>
        <w:t>.</w:t>
      </w:r>
    </w:p>
    <w:p w:rsidR="002D5D72" w:rsidRPr="00EE7AE0" w:rsidRDefault="002D5D72" w:rsidP="005A4C39">
      <w:pPr>
        <w:jc w:val="both"/>
        <w:rPr>
          <w:rFonts w:ascii="Calibri" w:hAnsi="Calibri" w:cs="Calibri"/>
          <w:color w:val="1F497D"/>
          <w:sz w:val="22"/>
          <w:szCs w:val="22"/>
          <w:lang w:val="nl-BE" w:eastAsia="en-US"/>
        </w:rPr>
      </w:pPr>
    </w:p>
    <w:p w:rsidR="00A31F80" w:rsidRPr="00EE7AE0" w:rsidRDefault="00A31F80" w:rsidP="005A4C39">
      <w:pPr>
        <w:jc w:val="both"/>
        <w:rPr>
          <w:rFonts w:ascii="Calibri" w:hAnsi="Calibri" w:cs="Calibri"/>
          <w:color w:val="1F497D"/>
          <w:sz w:val="32"/>
          <w:szCs w:val="32"/>
          <w:lang w:val="nl-BE" w:eastAsia="en-US"/>
        </w:rPr>
      </w:pPr>
    </w:p>
    <w:p w:rsidR="00C34942" w:rsidRPr="00EE7AE0" w:rsidRDefault="00EE7AE0" w:rsidP="00CE4A94">
      <w:pPr>
        <w:jc w:val="both"/>
        <w:rPr>
          <w:lang w:val="nl-BE"/>
        </w:rPr>
      </w:pPr>
      <w:r w:rsidRPr="00EE7AE0">
        <w:rPr>
          <w:lang w:val="nl-BE"/>
        </w:rPr>
        <w:t>We sluiten het boekjaar 2020 af met een verlies van</w:t>
      </w:r>
      <w:r w:rsidR="004F170F" w:rsidRPr="00EE7AE0">
        <w:rPr>
          <w:lang w:val="nl-BE"/>
        </w:rPr>
        <w:t xml:space="preserve"> </w:t>
      </w:r>
      <w:r w:rsidR="00AB4B4F">
        <w:rPr>
          <w:lang w:val="nl-BE"/>
        </w:rPr>
        <w:t>512 022</w:t>
      </w:r>
      <w:r w:rsidR="00DD266A" w:rsidRPr="00EE7AE0">
        <w:rPr>
          <w:lang w:val="nl-BE"/>
        </w:rPr>
        <w:t>,</w:t>
      </w:r>
      <w:r w:rsidR="00AB4B4F">
        <w:rPr>
          <w:lang w:val="nl-BE"/>
        </w:rPr>
        <w:t>9</w:t>
      </w:r>
      <w:r w:rsidR="006949D9" w:rsidRPr="00EE7AE0">
        <w:rPr>
          <w:lang w:val="nl-BE"/>
        </w:rPr>
        <w:t>7</w:t>
      </w:r>
      <w:r w:rsidR="00CE6144" w:rsidRPr="00EE7AE0">
        <w:rPr>
          <w:lang w:val="nl-BE"/>
        </w:rPr>
        <w:t xml:space="preserve"> </w:t>
      </w:r>
      <w:r w:rsidR="00FF48D7" w:rsidRPr="00EE7AE0">
        <w:rPr>
          <w:lang w:val="nl-BE"/>
        </w:rPr>
        <w:t>Eur</w:t>
      </w:r>
      <w:r w:rsidR="00CE6144" w:rsidRPr="00EE7AE0">
        <w:rPr>
          <w:lang w:val="nl-BE"/>
        </w:rPr>
        <w:t>o</w:t>
      </w:r>
      <w:r w:rsidR="00FF48D7" w:rsidRPr="00EE7AE0">
        <w:rPr>
          <w:lang w:val="nl-BE"/>
        </w:rPr>
        <w:t xml:space="preserve">. </w:t>
      </w:r>
      <w:r w:rsidRPr="00EE7AE0">
        <w:rPr>
          <w:lang w:val="nl-BE"/>
        </w:rPr>
        <w:t>Indien we geen rekening houden met de bijdrage uit reserve voorzien in het budget was het voorziene verlies voor de Covid-19 pandemie</w:t>
      </w:r>
      <w:r w:rsidR="00DD266A" w:rsidRPr="00EE7AE0">
        <w:rPr>
          <w:lang w:val="nl-BE"/>
        </w:rPr>
        <w:t xml:space="preserve"> 339 908,20</w:t>
      </w:r>
      <w:r>
        <w:rPr>
          <w:lang w:val="nl-BE"/>
        </w:rPr>
        <w:t xml:space="preserve"> Euro</w:t>
      </w:r>
      <w:r w:rsidR="00DD266A" w:rsidRPr="00EE7AE0">
        <w:rPr>
          <w:lang w:val="nl-BE"/>
        </w:rPr>
        <w:t xml:space="preserve">. </w:t>
      </w:r>
      <w:r w:rsidRPr="00EE7AE0">
        <w:rPr>
          <w:lang w:val="nl-BE"/>
        </w:rPr>
        <w:t>We kunnen dus aannemen dat de negatieve impact van</w:t>
      </w:r>
      <w:r w:rsidR="00DD266A" w:rsidRPr="00EE7AE0">
        <w:rPr>
          <w:lang w:val="nl-BE"/>
        </w:rPr>
        <w:t xml:space="preserve"> covid</w:t>
      </w:r>
      <w:r w:rsidR="00A1010A" w:rsidRPr="00EE7AE0">
        <w:rPr>
          <w:lang w:val="nl-BE"/>
        </w:rPr>
        <w:t>-19</w:t>
      </w:r>
      <w:r w:rsidR="00DD266A" w:rsidRPr="00EE7AE0">
        <w:rPr>
          <w:lang w:val="nl-BE"/>
        </w:rPr>
        <w:t xml:space="preserve"> </w:t>
      </w:r>
      <w:r w:rsidRPr="00EE7AE0">
        <w:rPr>
          <w:lang w:val="nl-BE"/>
        </w:rPr>
        <w:t xml:space="preserve">op het boekjaar </w:t>
      </w:r>
      <w:r w:rsidR="00DD266A" w:rsidRPr="00EE7AE0">
        <w:rPr>
          <w:lang w:val="nl-BE"/>
        </w:rPr>
        <w:t>1</w:t>
      </w:r>
      <w:r w:rsidR="00AB4B4F">
        <w:rPr>
          <w:lang w:val="nl-BE"/>
        </w:rPr>
        <w:t>72</w:t>
      </w:r>
      <w:r w:rsidR="00DD266A" w:rsidRPr="00EE7AE0">
        <w:rPr>
          <w:lang w:val="nl-BE"/>
        </w:rPr>
        <w:t xml:space="preserve"> </w:t>
      </w:r>
      <w:r w:rsidR="00AB4B4F">
        <w:rPr>
          <w:lang w:val="nl-BE"/>
        </w:rPr>
        <w:t>114</w:t>
      </w:r>
      <w:r w:rsidR="00DD266A" w:rsidRPr="00EE7AE0">
        <w:rPr>
          <w:lang w:val="nl-BE"/>
        </w:rPr>
        <w:t>,</w:t>
      </w:r>
      <w:r w:rsidR="00AB4B4F">
        <w:rPr>
          <w:lang w:val="nl-BE"/>
        </w:rPr>
        <w:t>7</w:t>
      </w:r>
      <w:r w:rsidR="0012261F" w:rsidRPr="00EE7AE0">
        <w:rPr>
          <w:lang w:val="nl-BE"/>
        </w:rPr>
        <w:t>7</w:t>
      </w:r>
      <w:r w:rsidRPr="00EE7AE0">
        <w:rPr>
          <w:lang w:val="nl-BE"/>
        </w:rPr>
        <w:t xml:space="preserve"> Euro is</w:t>
      </w:r>
      <w:r w:rsidR="0012261F" w:rsidRPr="00EE7AE0">
        <w:rPr>
          <w:lang w:val="nl-BE"/>
        </w:rPr>
        <w:t xml:space="preserve">. </w:t>
      </w:r>
      <w:r w:rsidRPr="00EE7AE0">
        <w:rPr>
          <w:lang w:val="nl-BE"/>
        </w:rPr>
        <w:t>Zelfs indien negatief is dit resultaat niet slecht als men weet dat de voorziene inkomsten uit legaten maar voor 54% gerealiseerd zijn en de regionale acties, om verschillende redenen uiteraard, maar voor 36%gerealiseerd zijn</w:t>
      </w:r>
      <w:r w:rsidR="007127CC" w:rsidRPr="00EE7AE0">
        <w:rPr>
          <w:lang w:val="nl-BE"/>
        </w:rPr>
        <w:t>.</w:t>
      </w:r>
      <w:r w:rsidR="0012261F" w:rsidRPr="00EE7AE0">
        <w:rPr>
          <w:lang w:val="nl-BE"/>
        </w:rPr>
        <w:t xml:space="preserve"> </w:t>
      </w:r>
    </w:p>
    <w:p w:rsidR="007127CC" w:rsidRPr="00EE7AE0" w:rsidRDefault="007127CC" w:rsidP="00CE4A94">
      <w:pPr>
        <w:jc w:val="both"/>
        <w:rPr>
          <w:lang w:val="nl-BE"/>
        </w:rPr>
      </w:pPr>
    </w:p>
    <w:p w:rsidR="00CE4A94" w:rsidRPr="00252ADF" w:rsidRDefault="00EE7AE0" w:rsidP="00CE4A94">
      <w:pPr>
        <w:jc w:val="both"/>
        <w:rPr>
          <w:lang w:val="nl-BE"/>
        </w:rPr>
      </w:pPr>
      <w:r w:rsidRPr="001D0B1B">
        <w:rPr>
          <w:lang w:val="nl-BE"/>
        </w:rPr>
        <w:t>Dit negatief resultaat is</w:t>
      </w:r>
      <w:r w:rsidR="001D0B1B" w:rsidRPr="001D0B1B">
        <w:rPr>
          <w:lang w:val="nl-BE"/>
        </w:rPr>
        <w:t xml:space="preserve"> verstaanbaar wanneer men overweegt dat het uitgave</w:t>
      </w:r>
      <w:r w:rsidR="00AB4B4F">
        <w:rPr>
          <w:lang w:val="nl-BE"/>
        </w:rPr>
        <w:t>nbudget voor 91</w:t>
      </w:r>
      <w:r w:rsidR="001D0B1B" w:rsidRPr="001D0B1B">
        <w:rPr>
          <w:lang w:val="nl-BE"/>
        </w:rPr>
        <w:t xml:space="preserve">% uitgevoerd werd waar het inkomstenbudget maar aan </w:t>
      </w:r>
      <w:r w:rsidR="001D0B1B">
        <w:rPr>
          <w:lang w:val="nl-BE"/>
        </w:rPr>
        <w:t>80% raakt</w:t>
      </w:r>
      <w:r w:rsidR="00CE4A94" w:rsidRPr="001D0B1B">
        <w:rPr>
          <w:lang w:val="nl-BE"/>
        </w:rPr>
        <w:t>.</w:t>
      </w:r>
      <w:r w:rsidR="007127CC" w:rsidRPr="001D0B1B">
        <w:rPr>
          <w:lang w:val="nl-BE"/>
        </w:rPr>
        <w:t xml:space="preserve"> </w:t>
      </w:r>
      <w:r w:rsidR="00252ADF" w:rsidRPr="00252ADF">
        <w:rPr>
          <w:lang w:val="nl-BE"/>
        </w:rPr>
        <w:t>Deze inkrimping van de geplande activiteiten</w:t>
      </w:r>
      <w:r w:rsidR="00AB4B4F">
        <w:rPr>
          <w:lang w:val="nl-BE"/>
        </w:rPr>
        <w:t xml:space="preserve"> met 9</w:t>
      </w:r>
      <w:r w:rsidR="00252ADF" w:rsidRPr="00252ADF">
        <w:rPr>
          <w:lang w:val="nl-BE"/>
        </w:rPr>
        <w:t xml:space="preserve">% voor de uitgaven en 20% voor de voorziene inkomsten is uniek en uiteraard te wijten aan de verschillende sanitaire maatregelen die sinds maart </w:t>
      </w:r>
      <w:r w:rsidR="00252ADF">
        <w:rPr>
          <w:lang w:val="nl-BE"/>
        </w:rPr>
        <w:t>2020 van kracht zijn.</w:t>
      </w:r>
    </w:p>
    <w:p w:rsidR="00CE4A94" w:rsidRPr="00252ADF" w:rsidRDefault="00CE4A94" w:rsidP="00CE4A94">
      <w:pPr>
        <w:jc w:val="both"/>
        <w:rPr>
          <w:lang w:val="nl-BE"/>
        </w:rPr>
      </w:pPr>
    </w:p>
    <w:p w:rsidR="007E70A9" w:rsidRPr="00026742" w:rsidRDefault="00252ADF" w:rsidP="005F7C60">
      <w:pPr>
        <w:jc w:val="both"/>
        <w:rPr>
          <w:lang w:val="nl-BE"/>
        </w:rPr>
      </w:pPr>
      <w:r w:rsidRPr="00252ADF">
        <w:rPr>
          <w:lang w:val="nl-BE"/>
        </w:rPr>
        <w:t>Nog beter dan in het vorig boekjaar vertegenwoordigen de algemene kosten maar 1</w:t>
      </w:r>
      <w:r w:rsidR="00AB4B4F">
        <w:rPr>
          <w:lang w:val="nl-BE"/>
        </w:rPr>
        <w:t>1</w:t>
      </w:r>
      <w:r w:rsidRPr="00252ADF">
        <w:rPr>
          <w:lang w:val="nl-BE"/>
        </w:rPr>
        <w:t xml:space="preserve">% van alle uitgaven waar die in </w:t>
      </w:r>
      <w:r>
        <w:rPr>
          <w:lang w:val="nl-BE"/>
        </w:rPr>
        <w:t>2018 nog goed waren voor 15%</w:t>
      </w:r>
      <w:r w:rsidR="004F170F" w:rsidRPr="00252ADF">
        <w:rPr>
          <w:lang w:val="nl-BE"/>
        </w:rPr>
        <w:t>.</w:t>
      </w:r>
      <w:r w:rsidR="005F7C60" w:rsidRPr="00252ADF">
        <w:rPr>
          <w:lang w:val="nl-BE"/>
        </w:rPr>
        <w:t xml:space="preserve"> </w:t>
      </w:r>
      <w:r w:rsidRPr="00252ADF">
        <w:rPr>
          <w:lang w:val="nl-BE"/>
        </w:rPr>
        <w:t>Dat betekent dat het gros van onze middelen</w:t>
      </w:r>
      <w:r w:rsidR="0002719B" w:rsidRPr="00252ADF">
        <w:rPr>
          <w:lang w:val="nl-BE"/>
        </w:rPr>
        <w:t xml:space="preserve"> (</w:t>
      </w:r>
      <w:r w:rsidR="00AB4B4F">
        <w:rPr>
          <w:lang w:val="nl-BE"/>
        </w:rPr>
        <w:t>8</w:t>
      </w:r>
      <w:r w:rsidR="0002719B" w:rsidRPr="00252ADF">
        <w:rPr>
          <w:lang w:val="nl-BE"/>
        </w:rPr>
        <w:t>9</w:t>
      </w:r>
      <w:r w:rsidR="00014E7D" w:rsidRPr="00252ADF">
        <w:rPr>
          <w:lang w:val="nl-BE"/>
        </w:rPr>
        <w:t>%)</w:t>
      </w:r>
      <w:r w:rsidR="005F7C60" w:rsidRPr="00252ADF">
        <w:rPr>
          <w:lang w:val="nl-BE"/>
        </w:rPr>
        <w:t xml:space="preserve"> </w:t>
      </w:r>
      <w:r w:rsidRPr="00252ADF">
        <w:rPr>
          <w:lang w:val="nl-BE"/>
        </w:rPr>
        <w:t>gebruikt werden aan directe en indirecte steun aan onze patiënten en hun families, de verdediging van hun belangen, het wetenschappelijk onderzoek, sensibilisering en aan f</w:t>
      </w:r>
      <w:r>
        <w:rPr>
          <w:lang w:val="nl-BE"/>
        </w:rPr>
        <w:t>ondsenwerving om dit mogelijk t</w:t>
      </w:r>
      <w:r w:rsidRPr="00252ADF">
        <w:rPr>
          <w:lang w:val="nl-BE"/>
        </w:rPr>
        <w:t>e maken</w:t>
      </w:r>
      <w:r w:rsidR="005F7C60" w:rsidRPr="00252ADF">
        <w:rPr>
          <w:lang w:val="nl-BE"/>
        </w:rPr>
        <w:t xml:space="preserve">. </w:t>
      </w:r>
      <w:r w:rsidRPr="00252ADF">
        <w:rPr>
          <w:lang w:val="nl-BE"/>
        </w:rPr>
        <w:t>De uitgaven voor digitale to</w:t>
      </w:r>
      <w:bookmarkStart w:id="0" w:name="_GoBack"/>
      <w:bookmarkEnd w:id="0"/>
      <w:r w:rsidRPr="00252ADF">
        <w:rPr>
          <w:lang w:val="nl-BE"/>
        </w:rPr>
        <w:t xml:space="preserve">ols en infrastructuur (budget Informatica en IT) hebben ruimschoots het budget overschreden. </w:t>
      </w:r>
      <w:r w:rsidRPr="00026742">
        <w:rPr>
          <w:lang w:val="nl-BE"/>
        </w:rPr>
        <w:t>We hebben om het afstandswerk, online verkoop mogelijk te maken</w:t>
      </w:r>
      <w:r w:rsidR="00026742" w:rsidRPr="00026742">
        <w:rPr>
          <w:lang w:val="nl-BE"/>
        </w:rPr>
        <w:t xml:space="preserve"> alsook de nieuwe infrastructuur, belangrijke investeringen moeten doen</w:t>
      </w:r>
      <w:r w:rsidR="00A1010A" w:rsidRPr="00026742">
        <w:rPr>
          <w:lang w:val="nl-BE"/>
        </w:rPr>
        <w:t>.</w:t>
      </w:r>
    </w:p>
    <w:p w:rsidR="005F7C60" w:rsidRPr="00026742" w:rsidRDefault="005F7C60" w:rsidP="005F7C60">
      <w:pPr>
        <w:jc w:val="both"/>
        <w:rPr>
          <w:lang w:val="nl-BE"/>
        </w:rPr>
      </w:pPr>
    </w:p>
    <w:p w:rsidR="00A31F80" w:rsidRPr="00026742" w:rsidRDefault="00026742" w:rsidP="008C1BF6">
      <w:pPr>
        <w:jc w:val="both"/>
        <w:rPr>
          <w:lang w:val="nl-BE"/>
        </w:rPr>
      </w:pPr>
      <w:r w:rsidRPr="00026742">
        <w:rPr>
          <w:lang w:val="nl-BE"/>
        </w:rPr>
        <w:t xml:space="preserve">Er valt tevens te noteren dat in het boekjaar 2020, </w:t>
      </w:r>
      <w:r>
        <w:rPr>
          <w:lang w:val="nl-BE"/>
        </w:rPr>
        <w:t>conform</w:t>
      </w:r>
      <w:r w:rsidRPr="00026742">
        <w:rPr>
          <w:lang w:val="nl-BE"/>
        </w:rPr>
        <w:t xml:space="preserve"> het voorziene budget in het raam van investeringen voorzien in het strategisch plan,  de uitgaven voor sensibilisering en fondsenwerving de grootste uitgavenpost blijven</w:t>
      </w:r>
      <w:r w:rsidR="008E00ED" w:rsidRPr="00026742">
        <w:rPr>
          <w:lang w:val="nl-BE"/>
        </w:rPr>
        <w:t>.</w:t>
      </w:r>
    </w:p>
    <w:p w:rsidR="00A128B5" w:rsidRPr="00026742" w:rsidRDefault="00A128B5" w:rsidP="008C1BF6">
      <w:pPr>
        <w:jc w:val="both"/>
        <w:rPr>
          <w:lang w:val="nl-BE"/>
        </w:rPr>
      </w:pPr>
    </w:p>
    <w:p w:rsidR="00014E7D" w:rsidRPr="00964F97" w:rsidRDefault="00026742" w:rsidP="008C1BF6">
      <w:pPr>
        <w:jc w:val="both"/>
        <w:rPr>
          <w:lang w:val="nl-BE"/>
        </w:rPr>
      </w:pPr>
      <w:r w:rsidRPr="00026742">
        <w:rPr>
          <w:lang w:val="nl-BE"/>
        </w:rPr>
        <w:t>De samenstelling van de inkomsten toont dat de giften met 72% de eerste plaats innemen voor een bedrag van</w:t>
      </w:r>
      <w:r w:rsidR="00D9443C" w:rsidRPr="00026742">
        <w:rPr>
          <w:lang w:val="nl-BE"/>
        </w:rPr>
        <w:t xml:space="preserve"> </w:t>
      </w:r>
      <w:r w:rsidR="0002719B" w:rsidRPr="00026742">
        <w:rPr>
          <w:lang w:val="nl-BE"/>
        </w:rPr>
        <w:t xml:space="preserve">2 802 </w:t>
      </w:r>
      <w:r w:rsidR="00AC6DB7" w:rsidRPr="00026742">
        <w:rPr>
          <w:lang w:val="nl-BE"/>
        </w:rPr>
        <w:t>320</w:t>
      </w:r>
      <w:r w:rsidR="00AC6DB7" w:rsidRPr="00026742">
        <w:rPr>
          <w:rFonts w:ascii="Arial" w:eastAsia="Times New Roman" w:hAnsi="Arial" w:cs="Arial"/>
          <w:b/>
          <w:bCs/>
          <w:lang w:val="nl-BE" w:eastAsia="en-US"/>
        </w:rPr>
        <w:t xml:space="preserve"> </w:t>
      </w:r>
      <w:r w:rsidR="00014E7D" w:rsidRPr="00026742">
        <w:rPr>
          <w:lang w:val="nl-BE"/>
        </w:rPr>
        <w:t>euro</w:t>
      </w:r>
      <w:r w:rsidR="00AC6DB7" w:rsidRPr="00026742">
        <w:rPr>
          <w:lang w:val="nl-BE"/>
        </w:rPr>
        <w:t xml:space="preserve">, </w:t>
      </w:r>
      <w:r>
        <w:rPr>
          <w:lang w:val="nl-BE"/>
        </w:rPr>
        <w:t>of een daling van</w:t>
      </w:r>
      <w:r w:rsidR="00AC6DB7" w:rsidRPr="00026742">
        <w:rPr>
          <w:lang w:val="nl-BE"/>
        </w:rPr>
        <w:t xml:space="preserve"> 1 110 513 euro (28,4%) </w:t>
      </w:r>
      <w:r>
        <w:rPr>
          <w:lang w:val="nl-BE"/>
        </w:rPr>
        <w:t>ten opzichte van vorig jaar</w:t>
      </w:r>
      <w:r w:rsidR="00AC6DB7" w:rsidRPr="00026742">
        <w:rPr>
          <w:lang w:val="nl-BE"/>
        </w:rPr>
        <w:t xml:space="preserve">. </w:t>
      </w:r>
      <w:r w:rsidR="00D86551" w:rsidRPr="00D86551">
        <w:rPr>
          <w:lang w:val="nl-BE"/>
        </w:rPr>
        <w:t>Het is voornamelijk de forse terugval in inkomsten uitlegaten die opmerkelijk is</w:t>
      </w:r>
      <w:r w:rsidR="000229C4" w:rsidRPr="00D86551">
        <w:rPr>
          <w:lang w:val="nl-BE"/>
        </w:rPr>
        <w:t xml:space="preserve"> : </w:t>
      </w:r>
      <w:r w:rsidR="00D86551">
        <w:rPr>
          <w:lang w:val="nl-BE"/>
        </w:rPr>
        <w:t>van</w:t>
      </w:r>
      <w:r w:rsidR="000229C4" w:rsidRPr="00D86551">
        <w:rPr>
          <w:lang w:val="nl-BE"/>
        </w:rPr>
        <w:t xml:space="preserve"> 1 663 477 euro </w:t>
      </w:r>
      <w:r w:rsidR="00D86551">
        <w:rPr>
          <w:lang w:val="nl-BE"/>
        </w:rPr>
        <w:t>i</w:t>
      </w:r>
      <w:r w:rsidR="000229C4" w:rsidRPr="00D86551">
        <w:rPr>
          <w:lang w:val="nl-BE"/>
        </w:rPr>
        <w:t>n 2019</w:t>
      </w:r>
      <w:r w:rsidR="00D86551">
        <w:rPr>
          <w:lang w:val="nl-BE"/>
        </w:rPr>
        <w:t xml:space="preserve"> dalen deze inkomsten met</w:t>
      </w:r>
      <w:r w:rsidR="000229C4" w:rsidRPr="00D86551">
        <w:rPr>
          <w:lang w:val="nl-BE"/>
        </w:rPr>
        <w:t xml:space="preserve"> 70,2% </w:t>
      </w:r>
      <w:r w:rsidR="00D86551">
        <w:rPr>
          <w:lang w:val="nl-BE"/>
        </w:rPr>
        <w:t xml:space="preserve">tot maar </w:t>
      </w:r>
      <w:r w:rsidR="000229C4" w:rsidRPr="00D86551">
        <w:rPr>
          <w:lang w:val="nl-BE"/>
        </w:rPr>
        <w:t xml:space="preserve">495 847 </w:t>
      </w:r>
      <w:r w:rsidR="00A1010A" w:rsidRPr="00D86551">
        <w:rPr>
          <w:lang w:val="nl-BE"/>
        </w:rPr>
        <w:t>euro</w:t>
      </w:r>
      <w:r w:rsidR="000229C4" w:rsidRPr="00D86551">
        <w:rPr>
          <w:lang w:val="nl-BE"/>
        </w:rPr>
        <w:t xml:space="preserve">. </w:t>
      </w:r>
      <w:r w:rsidR="00F045E2" w:rsidRPr="00D86551">
        <w:rPr>
          <w:lang w:val="nl-BE"/>
        </w:rPr>
        <w:t xml:space="preserve"> </w:t>
      </w:r>
      <w:r w:rsidR="00964F97" w:rsidRPr="00964F97">
        <w:rPr>
          <w:lang w:val="nl-BE"/>
        </w:rPr>
        <w:t>Een analyse is bezig om de oorzaak</w:t>
      </w:r>
      <w:r w:rsidR="00964F97">
        <w:rPr>
          <w:lang w:val="nl-BE"/>
        </w:rPr>
        <w:t xml:space="preserve"> te kennen en potentiële tendens</w:t>
      </w:r>
      <w:r w:rsidR="00964F97" w:rsidRPr="00964F97">
        <w:rPr>
          <w:lang w:val="nl-BE"/>
        </w:rPr>
        <w:t>en voor de komende jaren te identificeren</w:t>
      </w:r>
      <w:r w:rsidR="000229C4" w:rsidRPr="00964F97">
        <w:rPr>
          <w:lang w:val="nl-BE"/>
        </w:rPr>
        <w:t xml:space="preserve">. </w:t>
      </w:r>
      <w:r w:rsidR="00964F97" w:rsidRPr="00964F97">
        <w:rPr>
          <w:lang w:val="nl-BE"/>
        </w:rPr>
        <w:t>De inkomsten uit regionale acties dalen met 64%. Enkel lichtpunt hier zijn de inkomsten uit de verkoopsacties die stijgen met</w:t>
      </w:r>
      <w:r w:rsidR="000229C4" w:rsidRPr="00964F97">
        <w:rPr>
          <w:lang w:val="nl-BE"/>
        </w:rPr>
        <w:t xml:space="preserve"> </w:t>
      </w:r>
      <w:r w:rsidR="004F170F" w:rsidRPr="00964F97">
        <w:rPr>
          <w:lang w:val="nl-BE"/>
        </w:rPr>
        <w:t xml:space="preserve">55%. </w:t>
      </w:r>
      <w:r w:rsidR="00964F97" w:rsidRPr="00964F97">
        <w:rPr>
          <w:lang w:val="nl-BE"/>
        </w:rPr>
        <w:t xml:space="preserve">Dit is te danken aan de prompte en dynamische reactie van het team op de gebeurtenissen </w:t>
      </w:r>
      <w:r w:rsidR="00964F97">
        <w:rPr>
          <w:lang w:val="nl-BE"/>
        </w:rPr>
        <w:t>door</w:t>
      </w:r>
      <w:r w:rsidR="00964F97" w:rsidRPr="00964F97">
        <w:rPr>
          <w:lang w:val="nl-BE"/>
        </w:rPr>
        <w:t xml:space="preserve"> onze inkomsten meer te diversifiëren</w:t>
      </w:r>
      <w:r w:rsidR="00964F97">
        <w:rPr>
          <w:lang w:val="nl-BE"/>
        </w:rPr>
        <w:t>, strategie die ook in de komende jaren zal worden doorgetrokken</w:t>
      </w:r>
      <w:r w:rsidR="004F170F" w:rsidRPr="00964F97">
        <w:rPr>
          <w:lang w:val="nl-BE"/>
        </w:rPr>
        <w:t xml:space="preserve">. </w:t>
      </w:r>
    </w:p>
    <w:p w:rsidR="00014E7D" w:rsidRPr="00964F97" w:rsidRDefault="00014E7D" w:rsidP="008C1BF6">
      <w:pPr>
        <w:jc w:val="both"/>
        <w:rPr>
          <w:lang w:val="nl-BE"/>
        </w:rPr>
      </w:pPr>
    </w:p>
    <w:p w:rsidR="008F12BF" w:rsidRPr="00964F97" w:rsidRDefault="008F12BF" w:rsidP="008F12BF">
      <w:pPr>
        <w:pStyle w:val="Lijstalinea"/>
        <w:rPr>
          <w:lang w:val="nl-BE"/>
        </w:rPr>
      </w:pPr>
    </w:p>
    <w:p w:rsidR="008F12BF" w:rsidRPr="00964F97" w:rsidRDefault="008F12BF" w:rsidP="008F12BF">
      <w:pPr>
        <w:pStyle w:val="Lijstalinea"/>
        <w:ind w:left="644"/>
        <w:jc w:val="both"/>
        <w:rPr>
          <w:lang w:val="nl-BE"/>
        </w:rPr>
      </w:pPr>
    </w:p>
    <w:p w:rsidR="007E70A9" w:rsidRPr="00964F97" w:rsidRDefault="007E70A9" w:rsidP="007E70A9">
      <w:pPr>
        <w:pStyle w:val="Lijstalinea"/>
        <w:rPr>
          <w:lang w:val="nl-BE"/>
        </w:rPr>
      </w:pPr>
    </w:p>
    <w:p w:rsidR="008F12BF" w:rsidRPr="00964F97" w:rsidRDefault="008F12BF" w:rsidP="007E70A9">
      <w:pPr>
        <w:pStyle w:val="Lijstalinea"/>
        <w:rPr>
          <w:lang w:val="nl-BE"/>
        </w:rPr>
      </w:pPr>
    </w:p>
    <w:p w:rsidR="008F12BF" w:rsidRPr="00964F97" w:rsidRDefault="008F12BF" w:rsidP="007E70A9">
      <w:pPr>
        <w:pStyle w:val="Lijstalinea"/>
        <w:rPr>
          <w:lang w:val="nl-BE"/>
        </w:rPr>
      </w:pPr>
    </w:p>
    <w:p w:rsidR="007E70A9" w:rsidRPr="00964F97" w:rsidRDefault="007E70A9" w:rsidP="00102EFA">
      <w:pPr>
        <w:pStyle w:val="Lijstalinea"/>
        <w:ind w:left="644"/>
        <w:jc w:val="both"/>
        <w:rPr>
          <w:lang w:val="nl-BE"/>
        </w:rPr>
      </w:pPr>
    </w:p>
    <w:p w:rsidR="00EA1E64" w:rsidRPr="00964F97" w:rsidRDefault="00EA1E64" w:rsidP="00EA1E64">
      <w:pPr>
        <w:pStyle w:val="Lijstalinea"/>
        <w:jc w:val="both"/>
        <w:rPr>
          <w:lang w:val="nl-BE"/>
        </w:rPr>
      </w:pPr>
    </w:p>
    <w:p w:rsidR="00A0760A" w:rsidRPr="00964F97" w:rsidRDefault="00A0760A" w:rsidP="00EA1E64">
      <w:pPr>
        <w:pStyle w:val="Lijstalinea"/>
        <w:jc w:val="both"/>
        <w:rPr>
          <w:lang w:val="nl-BE"/>
        </w:rPr>
      </w:pPr>
    </w:p>
    <w:p w:rsidR="00937466" w:rsidRPr="00964F97" w:rsidRDefault="00937466" w:rsidP="005A4C39">
      <w:pPr>
        <w:jc w:val="both"/>
        <w:rPr>
          <w:rFonts w:ascii="Calibri" w:hAnsi="Calibri" w:cs="Calibri"/>
          <w:sz w:val="22"/>
          <w:szCs w:val="22"/>
          <w:lang w:val="nl-BE" w:eastAsia="en-US"/>
        </w:rPr>
      </w:pPr>
    </w:p>
    <w:p w:rsidR="00937466" w:rsidRPr="00964F97" w:rsidRDefault="00937466" w:rsidP="005A4C39">
      <w:pPr>
        <w:jc w:val="both"/>
        <w:rPr>
          <w:rFonts w:ascii="Calibri" w:hAnsi="Calibri" w:cs="Calibri"/>
          <w:sz w:val="22"/>
          <w:szCs w:val="22"/>
          <w:lang w:val="nl-BE" w:eastAsia="en-US"/>
        </w:rPr>
      </w:pPr>
    </w:p>
    <w:p w:rsidR="00DD5A59" w:rsidRPr="00964F97" w:rsidRDefault="00DD5A59" w:rsidP="00DD5A59">
      <w:pPr>
        <w:pStyle w:val="Lijstalinea"/>
        <w:ind w:left="644"/>
        <w:jc w:val="both"/>
        <w:rPr>
          <w:lang w:val="nl-BE"/>
        </w:rPr>
      </w:pPr>
    </w:p>
    <w:p w:rsidR="00937466" w:rsidRPr="00964F97" w:rsidRDefault="00937466" w:rsidP="00DD5A59">
      <w:pPr>
        <w:ind w:left="644"/>
        <w:jc w:val="both"/>
        <w:rPr>
          <w:lang w:val="nl-BE"/>
        </w:rPr>
      </w:pPr>
    </w:p>
    <w:p w:rsidR="00937466" w:rsidRPr="00964F97" w:rsidRDefault="00937466" w:rsidP="00937466">
      <w:pPr>
        <w:jc w:val="both"/>
        <w:rPr>
          <w:lang w:val="nl-BE"/>
        </w:rPr>
      </w:pPr>
    </w:p>
    <w:p w:rsidR="00937466" w:rsidRPr="00964F97" w:rsidRDefault="00937466" w:rsidP="00937466">
      <w:pPr>
        <w:jc w:val="both"/>
        <w:rPr>
          <w:lang w:val="nl-BE"/>
        </w:rPr>
      </w:pPr>
    </w:p>
    <w:p w:rsidR="005025DC" w:rsidRPr="00964F97" w:rsidRDefault="005025DC" w:rsidP="00937466">
      <w:pPr>
        <w:jc w:val="both"/>
        <w:rPr>
          <w:lang w:val="nl-BE"/>
        </w:rPr>
      </w:pPr>
    </w:p>
    <w:p w:rsidR="00937466" w:rsidRPr="00964F97" w:rsidRDefault="00937466" w:rsidP="00937466">
      <w:pPr>
        <w:jc w:val="both"/>
        <w:rPr>
          <w:lang w:val="nl-BE"/>
        </w:rPr>
      </w:pPr>
    </w:p>
    <w:p w:rsidR="00A0760A" w:rsidRPr="00964F97" w:rsidRDefault="00A0760A" w:rsidP="00D63078">
      <w:pPr>
        <w:jc w:val="both"/>
        <w:rPr>
          <w:sz w:val="32"/>
          <w:szCs w:val="32"/>
          <w:lang w:val="nl-BE"/>
        </w:rPr>
      </w:pPr>
    </w:p>
    <w:p w:rsidR="005B69BA" w:rsidRPr="00964F97" w:rsidRDefault="005B69BA" w:rsidP="005B69BA">
      <w:pPr>
        <w:jc w:val="both"/>
        <w:rPr>
          <w:lang w:val="nl-BE"/>
        </w:rPr>
      </w:pPr>
    </w:p>
    <w:sectPr w:rsidR="005B69BA" w:rsidRPr="0096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82" w:rsidRDefault="00242482" w:rsidP="00C86C96">
      <w:r>
        <w:separator/>
      </w:r>
    </w:p>
  </w:endnote>
  <w:endnote w:type="continuationSeparator" w:id="0">
    <w:p w:rsidR="00242482" w:rsidRDefault="00242482" w:rsidP="00C8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82" w:rsidRDefault="00242482" w:rsidP="00C86C96">
      <w:r>
        <w:separator/>
      </w:r>
    </w:p>
  </w:footnote>
  <w:footnote w:type="continuationSeparator" w:id="0">
    <w:p w:rsidR="00242482" w:rsidRDefault="00242482" w:rsidP="00C8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FC6"/>
    <w:multiLevelType w:val="hybridMultilevel"/>
    <w:tmpl w:val="2626D266"/>
    <w:lvl w:ilvl="0" w:tplc="50C4D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4FAF"/>
    <w:multiLevelType w:val="hybridMultilevel"/>
    <w:tmpl w:val="BF94256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7FE5"/>
    <w:multiLevelType w:val="hybridMultilevel"/>
    <w:tmpl w:val="3CAE48A6"/>
    <w:lvl w:ilvl="0" w:tplc="08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FD65BB"/>
    <w:multiLevelType w:val="hybridMultilevel"/>
    <w:tmpl w:val="2B1AEA6E"/>
    <w:lvl w:ilvl="0" w:tplc="CDC44C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050D3"/>
    <w:multiLevelType w:val="hybridMultilevel"/>
    <w:tmpl w:val="9E5006C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8B"/>
    <w:rsid w:val="00007154"/>
    <w:rsid w:val="00010BBC"/>
    <w:rsid w:val="00014E7D"/>
    <w:rsid w:val="000229C4"/>
    <w:rsid w:val="00024595"/>
    <w:rsid w:val="00026742"/>
    <w:rsid w:val="0002719B"/>
    <w:rsid w:val="000468AD"/>
    <w:rsid w:val="00053852"/>
    <w:rsid w:val="00075318"/>
    <w:rsid w:val="00076CA1"/>
    <w:rsid w:val="0008081D"/>
    <w:rsid w:val="0009069D"/>
    <w:rsid w:val="000B443C"/>
    <w:rsid w:val="000F1563"/>
    <w:rsid w:val="00102EFA"/>
    <w:rsid w:val="0011438F"/>
    <w:rsid w:val="0012261F"/>
    <w:rsid w:val="00182C18"/>
    <w:rsid w:val="001943FD"/>
    <w:rsid w:val="001A0242"/>
    <w:rsid w:val="001A0A72"/>
    <w:rsid w:val="001A4103"/>
    <w:rsid w:val="001D0B1B"/>
    <w:rsid w:val="00241C4E"/>
    <w:rsid w:val="00242482"/>
    <w:rsid w:val="00252ADF"/>
    <w:rsid w:val="00274E07"/>
    <w:rsid w:val="002807AA"/>
    <w:rsid w:val="002D5D72"/>
    <w:rsid w:val="002D6F8B"/>
    <w:rsid w:val="00301C7A"/>
    <w:rsid w:val="00386668"/>
    <w:rsid w:val="00427C54"/>
    <w:rsid w:val="0044128B"/>
    <w:rsid w:val="00442946"/>
    <w:rsid w:val="00482137"/>
    <w:rsid w:val="004B1AD4"/>
    <w:rsid w:val="004D4FB2"/>
    <w:rsid w:val="004E3F39"/>
    <w:rsid w:val="004E7E40"/>
    <w:rsid w:val="004F170F"/>
    <w:rsid w:val="005025DC"/>
    <w:rsid w:val="005027A2"/>
    <w:rsid w:val="005255F2"/>
    <w:rsid w:val="00565ED1"/>
    <w:rsid w:val="00573AED"/>
    <w:rsid w:val="005A4C39"/>
    <w:rsid w:val="005A61B1"/>
    <w:rsid w:val="005B1E8A"/>
    <w:rsid w:val="005B69BA"/>
    <w:rsid w:val="005F7C60"/>
    <w:rsid w:val="00632AD1"/>
    <w:rsid w:val="00644943"/>
    <w:rsid w:val="006949D9"/>
    <w:rsid w:val="007127CC"/>
    <w:rsid w:val="007360B5"/>
    <w:rsid w:val="00753275"/>
    <w:rsid w:val="007868A1"/>
    <w:rsid w:val="00791DE9"/>
    <w:rsid w:val="007D633E"/>
    <w:rsid w:val="007E6803"/>
    <w:rsid w:val="007E70A9"/>
    <w:rsid w:val="00800019"/>
    <w:rsid w:val="008638F2"/>
    <w:rsid w:val="008777FA"/>
    <w:rsid w:val="008C1BF6"/>
    <w:rsid w:val="008D45D7"/>
    <w:rsid w:val="008E00ED"/>
    <w:rsid w:val="008E78A7"/>
    <w:rsid w:val="008F12BF"/>
    <w:rsid w:val="009117FE"/>
    <w:rsid w:val="00915C92"/>
    <w:rsid w:val="00937466"/>
    <w:rsid w:val="00943060"/>
    <w:rsid w:val="00943BDD"/>
    <w:rsid w:val="0095118F"/>
    <w:rsid w:val="00957799"/>
    <w:rsid w:val="00964F97"/>
    <w:rsid w:val="009A06BE"/>
    <w:rsid w:val="009C4F2A"/>
    <w:rsid w:val="009D3CCA"/>
    <w:rsid w:val="009E17D4"/>
    <w:rsid w:val="00A055C1"/>
    <w:rsid w:val="00A0760A"/>
    <w:rsid w:val="00A1010A"/>
    <w:rsid w:val="00A128B5"/>
    <w:rsid w:val="00A31F80"/>
    <w:rsid w:val="00A40244"/>
    <w:rsid w:val="00A41E41"/>
    <w:rsid w:val="00A635CD"/>
    <w:rsid w:val="00A94485"/>
    <w:rsid w:val="00AA6D37"/>
    <w:rsid w:val="00AA7D0E"/>
    <w:rsid w:val="00AB4B4F"/>
    <w:rsid w:val="00AC6DB7"/>
    <w:rsid w:val="00AE20EF"/>
    <w:rsid w:val="00B12521"/>
    <w:rsid w:val="00B16A79"/>
    <w:rsid w:val="00B17C5E"/>
    <w:rsid w:val="00B57E8D"/>
    <w:rsid w:val="00B76107"/>
    <w:rsid w:val="00B76569"/>
    <w:rsid w:val="00B81B58"/>
    <w:rsid w:val="00BA1F09"/>
    <w:rsid w:val="00BA639C"/>
    <w:rsid w:val="00BE7F80"/>
    <w:rsid w:val="00C00F78"/>
    <w:rsid w:val="00C261D3"/>
    <w:rsid w:val="00C34942"/>
    <w:rsid w:val="00C378C9"/>
    <w:rsid w:val="00C41446"/>
    <w:rsid w:val="00C414E6"/>
    <w:rsid w:val="00C4724D"/>
    <w:rsid w:val="00C54D37"/>
    <w:rsid w:val="00C76978"/>
    <w:rsid w:val="00C86C96"/>
    <w:rsid w:val="00CA4D96"/>
    <w:rsid w:val="00CB4B8B"/>
    <w:rsid w:val="00CC07DF"/>
    <w:rsid w:val="00CE4A94"/>
    <w:rsid w:val="00CE6144"/>
    <w:rsid w:val="00CF671A"/>
    <w:rsid w:val="00D05893"/>
    <w:rsid w:val="00D63078"/>
    <w:rsid w:val="00D86551"/>
    <w:rsid w:val="00D9443C"/>
    <w:rsid w:val="00DD266A"/>
    <w:rsid w:val="00DD5A59"/>
    <w:rsid w:val="00DE4EBB"/>
    <w:rsid w:val="00E01BFB"/>
    <w:rsid w:val="00E52643"/>
    <w:rsid w:val="00E64675"/>
    <w:rsid w:val="00E90789"/>
    <w:rsid w:val="00E92DDF"/>
    <w:rsid w:val="00EA1E64"/>
    <w:rsid w:val="00EB566E"/>
    <w:rsid w:val="00EC31F4"/>
    <w:rsid w:val="00ED7752"/>
    <w:rsid w:val="00EE7AE0"/>
    <w:rsid w:val="00EF590B"/>
    <w:rsid w:val="00F0256E"/>
    <w:rsid w:val="00F045E2"/>
    <w:rsid w:val="00F23B11"/>
    <w:rsid w:val="00F34D20"/>
    <w:rsid w:val="00F54903"/>
    <w:rsid w:val="00F95EA7"/>
    <w:rsid w:val="00FB5BAB"/>
    <w:rsid w:val="00FE53AB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567754"/>
  <w15:chartTrackingRefBased/>
  <w15:docId w15:val="{36B9EB2D-8B2B-4803-B215-D6411868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128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128B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6C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6CA1"/>
    <w:rPr>
      <w:rFonts w:ascii="Segoe UI" w:hAnsi="Segoe UI" w:cs="Segoe UI"/>
      <w:sz w:val="18"/>
      <w:szCs w:val="18"/>
      <w:lang w:eastAsia="fr-BE"/>
    </w:rPr>
  </w:style>
  <w:style w:type="paragraph" w:styleId="Koptekst">
    <w:name w:val="header"/>
    <w:basedOn w:val="Standaard"/>
    <w:link w:val="KoptekstChar"/>
    <w:uiPriority w:val="99"/>
    <w:unhideWhenUsed/>
    <w:rsid w:val="00C86C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6C96"/>
    <w:rPr>
      <w:rFonts w:ascii="Times New Roman" w:hAnsi="Times New Roman" w:cs="Times New Roman"/>
      <w:sz w:val="24"/>
      <w:szCs w:val="24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C86C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C96"/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Stefan</cp:lastModifiedBy>
  <cp:revision>3</cp:revision>
  <cp:lastPrinted>2018-02-21T16:10:00Z</cp:lastPrinted>
  <dcterms:created xsi:type="dcterms:W3CDTF">2021-02-25T09:06:00Z</dcterms:created>
  <dcterms:modified xsi:type="dcterms:W3CDTF">2021-02-25T16:18:00Z</dcterms:modified>
</cp:coreProperties>
</file>